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4CE" w:rsidRPr="006A0543" w:rsidRDefault="007424CE" w:rsidP="007424CE">
      <w:pPr>
        <w:rPr>
          <w:rFonts w:ascii="Arial" w:hAnsi="Arial" w:cs="Arial"/>
          <w:b/>
          <w:snapToGrid w:val="0"/>
        </w:rPr>
      </w:pPr>
      <w:bookmarkStart w:id="0" w:name="_Hlk104210849"/>
      <w:r w:rsidRPr="006A0543">
        <w:rPr>
          <w:rFonts w:ascii="Arial" w:hAnsi="Arial" w:cs="Arial"/>
          <w:b/>
          <w:snapToGrid w:val="0"/>
        </w:rPr>
        <w:t xml:space="preserve">PREFEITURA MUNICIPAL DE </w:t>
      </w:r>
      <w:r>
        <w:rPr>
          <w:rFonts w:ascii="Arial" w:hAnsi="Arial" w:cs="Arial"/>
          <w:b/>
        </w:rPr>
        <w:t>ARAGUARI/MG</w:t>
      </w:r>
    </w:p>
    <w:p w:rsidR="007424CE" w:rsidRDefault="007424CE" w:rsidP="007424CE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SUPERINTENTENCIA DE ÁGUA E ESGOTO (SAE)</w:t>
      </w:r>
      <w:r w:rsidRPr="00032BEB">
        <w:rPr>
          <w:rFonts w:cs="Arial"/>
          <w:snapToGrid w:val="0"/>
        </w:rPr>
        <w:t xml:space="preserve"> - </w:t>
      </w:r>
      <w:r>
        <w:rPr>
          <w:rFonts w:cs="Arial"/>
          <w:snapToGrid w:val="0"/>
        </w:rPr>
        <w:t xml:space="preserve">CONTRATANTE </w:t>
      </w:r>
    </w:p>
    <w:p w:rsidR="007424CE" w:rsidRPr="006A0543" w:rsidRDefault="007424CE" w:rsidP="007424CE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EDITAL</w:t>
      </w:r>
      <w:r w:rsidRPr="006A0543">
        <w:rPr>
          <w:rFonts w:cs="Arial"/>
          <w:snapToGrid w:val="0"/>
        </w:rPr>
        <w:t xml:space="preserve"> DE CONCORRÊNCIA Nº. </w:t>
      </w:r>
      <w:r w:rsidRPr="002A7503">
        <w:rPr>
          <w:rFonts w:cs="Arial"/>
          <w:snapToGrid w:val="0"/>
          <w:highlight w:val="yellow"/>
        </w:rPr>
        <w:t>XXXXXX</w:t>
      </w:r>
    </w:p>
    <w:p w:rsidR="000E6D06" w:rsidRPr="007424CE" w:rsidRDefault="007424CE" w:rsidP="007424CE">
      <w:pPr>
        <w:autoSpaceDE w:val="0"/>
        <w:autoSpaceDN w:val="0"/>
        <w:adjustRightInd w:val="0"/>
        <w:rPr>
          <w:rFonts w:ascii="Arial" w:hAnsi="Arial" w:cs="Arial"/>
          <w:b/>
          <w:bCs/>
          <w:szCs w:val="24"/>
        </w:rPr>
      </w:pPr>
      <w:r w:rsidRPr="004C791C">
        <w:rPr>
          <w:rFonts w:ascii="Arial" w:hAnsi="Arial" w:cs="Arial"/>
          <w:b/>
          <w:bCs/>
          <w:iCs/>
        </w:rPr>
        <w:t xml:space="preserve">ANEXO </w:t>
      </w:r>
      <w:r w:rsidR="00052466">
        <w:rPr>
          <w:rFonts w:ascii="Arial" w:hAnsi="Arial" w:cs="Arial"/>
          <w:b/>
          <w:bCs/>
          <w:iCs/>
        </w:rPr>
        <w:t>V</w:t>
      </w:r>
      <w:r w:rsidRPr="004C791C">
        <w:rPr>
          <w:rFonts w:ascii="Arial" w:hAnsi="Arial" w:cs="Arial"/>
          <w:b/>
          <w:bCs/>
          <w:iCs/>
        </w:rPr>
        <w:t>I –</w:t>
      </w:r>
      <w:r w:rsidRPr="007424CE">
        <w:rPr>
          <w:rFonts w:ascii="Arial" w:hAnsi="Arial" w:cs="Arial"/>
          <w:b/>
          <w:bCs/>
          <w:szCs w:val="24"/>
        </w:rPr>
        <w:t>DIRETRIZES DE ENQUADRAMENTO AMBIENTAL</w:t>
      </w:r>
    </w:p>
    <w:p w:rsidR="00AD78F3" w:rsidRPr="007424CE" w:rsidRDefault="00AD78F3">
      <w:pPr>
        <w:rPr>
          <w:rFonts w:ascii="Arial" w:hAnsi="Arial" w:cs="Arial"/>
          <w:szCs w:val="24"/>
        </w:rPr>
      </w:pPr>
    </w:p>
    <w:bookmarkEnd w:id="0"/>
    <w:p w:rsidR="005B7E74" w:rsidRPr="007424CE" w:rsidRDefault="005B7E74" w:rsidP="005B7E74">
      <w:pPr>
        <w:rPr>
          <w:rFonts w:ascii="Arial" w:hAnsi="Arial" w:cs="Arial"/>
          <w:szCs w:val="24"/>
        </w:rPr>
      </w:pPr>
      <w:r w:rsidRPr="007424CE">
        <w:rPr>
          <w:rFonts w:ascii="Arial" w:hAnsi="Arial" w:cs="Arial"/>
          <w:szCs w:val="24"/>
        </w:rPr>
        <w:t xml:space="preserve">A Política Estadual de Recursos Hídricos foi instituída pela Lei </w:t>
      </w:r>
      <w:r w:rsidR="00961B50" w:rsidRPr="007424CE">
        <w:rPr>
          <w:rFonts w:ascii="Arial" w:hAnsi="Arial" w:cs="Arial"/>
          <w:szCs w:val="24"/>
        </w:rPr>
        <w:t>1</w:t>
      </w:r>
      <w:r w:rsidR="00882656" w:rsidRPr="007424CE">
        <w:rPr>
          <w:rFonts w:ascii="Arial" w:hAnsi="Arial" w:cs="Arial"/>
          <w:szCs w:val="24"/>
        </w:rPr>
        <w:t>0</w:t>
      </w:r>
      <w:r w:rsidR="00961B50" w:rsidRPr="007424CE">
        <w:rPr>
          <w:rFonts w:ascii="Arial" w:hAnsi="Arial" w:cs="Arial"/>
          <w:szCs w:val="24"/>
        </w:rPr>
        <w:t>.</w:t>
      </w:r>
      <w:r w:rsidR="00882656" w:rsidRPr="007424CE">
        <w:rPr>
          <w:rFonts w:ascii="Arial" w:hAnsi="Arial" w:cs="Arial"/>
          <w:szCs w:val="24"/>
        </w:rPr>
        <w:t>350</w:t>
      </w:r>
      <w:r w:rsidRPr="007424CE">
        <w:rPr>
          <w:rFonts w:ascii="Arial" w:hAnsi="Arial" w:cs="Arial"/>
          <w:szCs w:val="24"/>
        </w:rPr>
        <w:t>/</w:t>
      </w:r>
      <w:r w:rsidR="00961B50" w:rsidRPr="007424CE">
        <w:rPr>
          <w:rFonts w:ascii="Arial" w:hAnsi="Arial" w:cs="Arial"/>
          <w:szCs w:val="24"/>
        </w:rPr>
        <w:t>9</w:t>
      </w:r>
      <w:r w:rsidR="00882656" w:rsidRPr="007424CE">
        <w:rPr>
          <w:rFonts w:ascii="Arial" w:hAnsi="Arial" w:cs="Arial"/>
          <w:szCs w:val="24"/>
        </w:rPr>
        <w:t>4</w:t>
      </w:r>
      <w:r w:rsidR="00961B50" w:rsidRPr="007424CE">
        <w:rPr>
          <w:rFonts w:ascii="Arial" w:hAnsi="Arial" w:cs="Arial"/>
          <w:szCs w:val="24"/>
        </w:rPr>
        <w:t xml:space="preserve">,criando o </w:t>
      </w:r>
      <w:r w:rsidRPr="007424CE">
        <w:rPr>
          <w:rFonts w:ascii="Arial" w:hAnsi="Arial" w:cs="Arial"/>
          <w:szCs w:val="24"/>
        </w:rPr>
        <w:t>Sistema Estadual de Gerenciamento de Recursos Hídricos (SEGRH)</w:t>
      </w:r>
      <w:r w:rsidR="00882656" w:rsidRPr="007424CE">
        <w:rPr>
          <w:rFonts w:ascii="Arial" w:hAnsi="Arial" w:cs="Arial"/>
          <w:szCs w:val="24"/>
        </w:rPr>
        <w:t xml:space="preserve">, </w:t>
      </w:r>
      <w:r w:rsidRPr="007424CE">
        <w:rPr>
          <w:rFonts w:ascii="Arial" w:hAnsi="Arial" w:cs="Arial"/>
          <w:szCs w:val="24"/>
        </w:rPr>
        <w:t>composto pelo: (i) Conselho Estadual de Recursos Hídricos – CERH; (ii) a Secretaria de Estado d</w:t>
      </w:r>
      <w:r w:rsidR="00560301" w:rsidRPr="007424CE">
        <w:rPr>
          <w:rFonts w:ascii="Arial" w:hAnsi="Arial" w:cs="Arial"/>
          <w:szCs w:val="24"/>
        </w:rPr>
        <w:t>e Meio Ambiente</w:t>
      </w:r>
      <w:r w:rsidRPr="007424CE">
        <w:rPr>
          <w:rFonts w:ascii="Arial" w:hAnsi="Arial" w:cs="Arial"/>
          <w:szCs w:val="24"/>
        </w:rPr>
        <w:t xml:space="preserve"> – SE</w:t>
      </w:r>
      <w:r w:rsidR="00560301" w:rsidRPr="007424CE">
        <w:rPr>
          <w:rFonts w:ascii="Arial" w:hAnsi="Arial" w:cs="Arial"/>
          <w:szCs w:val="24"/>
        </w:rPr>
        <w:t>MA</w:t>
      </w:r>
      <w:r w:rsidRPr="007424CE">
        <w:rPr>
          <w:rFonts w:ascii="Arial" w:hAnsi="Arial" w:cs="Arial"/>
          <w:szCs w:val="24"/>
        </w:rPr>
        <w:t xml:space="preserve">; </w:t>
      </w:r>
      <w:r w:rsidR="00560301" w:rsidRPr="007424CE">
        <w:rPr>
          <w:rFonts w:ascii="Arial" w:hAnsi="Arial" w:cs="Arial"/>
          <w:szCs w:val="24"/>
        </w:rPr>
        <w:t xml:space="preserve">Instituto Mineiro de Gestão da Águas (IGAM); </w:t>
      </w:r>
      <w:r w:rsidRPr="007424CE">
        <w:rPr>
          <w:rFonts w:ascii="Arial" w:hAnsi="Arial" w:cs="Arial"/>
          <w:szCs w:val="24"/>
        </w:rPr>
        <w:t xml:space="preserve">(iii) os Comitês de Bacia Hidrográfica – CBH e; (iv) as Agências de Bacia Hidrográfica. </w:t>
      </w:r>
      <w:r w:rsidR="00882656" w:rsidRPr="007424CE">
        <w:rPr>
          <w:rFonts w:ascii="Arial" w:hAnsi="Arial" w:cs="Arial"/>
          <w:szCs w:val="24"/>
        </w:rPr>
        <w:t>O Plano Estadual de Recursos Hídricos em vigor data de 2021.</w:t>
      </w:r>
    </w:p>
    <w:p w:rsidR="005B7E74" w:rsidRPr="007424CE" w:rsidRDefault="005B7E74" w:rsidP="005B7E74">
      <w:pPr>
        <w:rPr>
          <w:rFonts w:ascii="Arial" w:hAnsi="Arial" w:cs="Arial"/>
          <w:szCs w:val="24"/>
        </w:rPr>
      </w:pPr>
    </w:p>
    <w:p w:rsidR="00882656" w:rsidRPr="007424CE" w:rsidRDefault="00882656" w:rsidP="00882656">
      <w:pPr>
        <w:rPr>
          <w:rFonts w:ascii="Arial" w:hAnsi="Arial" w:cs="Arial"/>
          <w:szCs w:val="24"/>
        </w:rPr>
      </w:pPr>
      <w:r w:rsidRPr="007424CE">
        <w:rPr>
          <w:rFonts w:ascii="Arial" w:hAnsi="Arial" w:cs="Arial"/>
          <w:szCs w:val="24"/>
        </w:rPr>
        <w:t xml:space="preserve">O processo de licenciamento ambiental é competência da Secretaria Estadual de Meio Ambiente (SEMAD) e regulamentado pela Res. SEMAD 2890/19. O processo de outorga de uso de Recursos Hídricos é competência da Instituto Mineiro de Gestão das Águas (IGAM) e regulamentado pela Res. IGAM 49/19 e CERH 01/08. </w:t>
      </w:r>
    </w:p>
    <w:p w:rsidR="00882656" w:rsidRPr="007424CE" w:rsidRDefault="00882656" w:rsidP="005B7E74">
      <w:pPr>
        <w:rPr>
          <w:rFonts w:ascii="Arial" w:hAnsi="Arial" w:cs="Arial"/>
          <w:szCs w:val="24"/>
        </w:rPr>
      </w:pPr>
    </w:p>
    <w:p w:rsidR="005B7E74" w:rsidRPr="007424CE" w:rsidRDefault="005B7E74" w:rsidP="005B7E74">
      <w:pPr>
        <w:rPr>
          <w:rFonts w:ascii="Arial" w:hAnsi="Arial" w:cs="Arial"/>
          <w:szCs w:val="24"/>
        </w:rPr>
      </w:pPr>
      <w:r w:rsidRPr="007424CE">
        <w:rPr>
          <w:rFonts w:ascii="Arial" w:hAnsi="Arial" w:cs="Arial"/>
          <w:szCs w:val="24"/>
        </w:rPr>
        <w:t xml:space="preserve">A outorga de direito de uso de recursos hídricos </w:t>
      </w:r>
      <w:r w:rsidR="003D201A" w:rsidRPr="007424CE">
        <w:rPr>
          <w:rFonts w:ascii="Arial" w:hAnsi="Arial" w:cs="Arial"/>
          <w:szCs w:val="24"/>
        </w:rPr>
        <w:t xml:space="preserve">para o saneamento </w:t>
      </w:r>
      <w:r w:rsidRPr="007424CE">
        <w:rPr>
          <w:rFonts w:ascii="Arial" w:hAnsi="Arial" w:cs="Arial"/>
          <w:szCs w:val="24"/>
        </w:rPr>
        <w:t xml:space="preserve">é por prazo determinado (até 35 anos), nos termos e nas condições expressas no respectivo documento. Depende de outorga as captações de água superficial ou subterrânea para abastecimento público, bem como o lançamento de efluentes do sistema de esgotamento sanitários. </w:t>
      </w:r>
    </w:p>
    <w:p w:rsidR="005B7E74" w:rsidRPr="007424CE" w:rsidRDefault="005B7E74" w:rsidP="005B7E74">
      <w:pPr>
        <w:rPr>
          <w:rFonts w:ascii="Arial" w:hAnsi="Arial" w:cs="Arial"/>
          <w:szCs w:val="24"/>
        </w:rPr>
      </w:pPr>
    </w:p>
    <w:p w:rsidR="003D201A" w:rsidRPr="007424CE" w:rsidRDefault="003D201A" w:rsidP="003D201A">
      <w:pPr>
        <w:rPr>
          <w:rStyle w:val="fontstyle01"/>
        </w:rPr>
      </w:pPr>
      <w:r w:rsidRPr="007424CE">
        <w:rPr>
          <w:rFonts w:ascii="Arial" w:hAnsi="Arial" w:cs="Arial"/>
          <w:szCs w:val="24"/>
        </w:rPr>
        <w:t>A vazão de referência para análise da capacidade hídrica do corpo receptor para outorgas de uso de recursos hídricos é a vazão de seca (Q</w:t>
      </w:r>
      <w:r w:rsidRPr="007424CE">
        <w:rPr>
          <w:rFonts w:ascii="Arial" w:hAnsi="Arial" w:cs="Arial"/>
          <w:szCs w:val="24"/>
          <w:vertAlign w:val="subscript"/>
        </w:rPr>
        <w:t>7/10</w:t>
      </w:r>
      <w:r w:rsidRPr="007424CE">
        <w:rPr>
          <w:rFonts w:ascii="Arial" w:hAnsi="Arial" w:cs="Arial"/>
          <w:szCs w:val="24"/>
        </w:rPr>
        <w:t>), sendo outorgável até 50% da vazão de referência (Res. CERH 24/08), podendo em casos específicos chegar até 100% da Q</w:t>
      </w:r>
      <w:r w:rsidRPr="007424CE">
        <w:rPr>
          <w:rFonts w:ascii="Arial" w:hAnsi="Arial" w:cs="Arial"/>
          <w:szCs w:val="24"/>
          <w:vertAlign w:val="subscript"/>
        </w:rPr>
        <w:t>7/10</w:t>
      </w:r>
      <w:r w:rsidRPr="007424CE">
        <w:rPr>
          <w:rFonts w:ascii="Arial" w:hAnsi="Arial" w:cs="Arial"/>
          <w:szCs w:val="24"/>
        </w:rPr>
        <w:t>.</w:t>
      </w:r>
    </w:p>
    <w:p w:rsidR="003D201A" w:rsidRPr="007424CE" w:rsidRDefault="003D201A" w:rsidP="005B7E74">
      <w:pPr>
        <w:rPr>
          <w:rFonts w:ascii="Arial" w:hAnsi="Arial" w:cs="Arial"/>
          <w:szCs w:val="24"/>
        </w:rPr>
      </w:pPr>
    </w:p>
    <w:p w:rsidR="005B7E74" w:rsidRPr="007424CE" w:rsidRDefault="005B7E74" w:rsidP="005B7E74">
      <w:pPr>
        <w:rPr>
          <w:rFonts w:ascii="Arial" w:hAnsi="Arial" w:cs="Arial"/>
          <w:szCs w:val="24"/>
        </w:rPr>
      </w:pPr>
      <w:r w:rsidRPr="007424CE">
        <w:rPr>
          <w:rFonts w:ascii="Arial" w:hAnsi="Arial" w:cs="Arial"/>
          <w:szCs w:val="24"/>
        </w:rPr>
        <w:t xml:space="preserve">O processo de licenciamento </w:t>
      </w:r>
      <w:r w:rsidR="00460413" w:rsidRPr="007424CE">
        <w:rPr>
          <w:rFonts w:ascii="Arial" w:hAnsi="Arial" w:cs="Arial"/>
          <w:szCs w:val="24"/>
        </w:rPr>
        <w:t xml:space="preserve">é centralizado na FEAM (Fundação Estadual de Meio Ambiente), </w:t>
      </w:r>
      <w:r w:rsidR="00563CF8" w:rsidRPr="007424CE">
        <w:rPr>
          <w:rFonts w:ascii="Arial" w:hAnsi="Arial" w:cs="Arial"/>
          <w:szCs w:val="24"/>
        </w:rPr>
        <w:t xml:space="preserve">normatizado pela </w:t>
      </w:r>
      <w:r w:rsidR="00563CF8" w:rsidRPr="007424CE">
        <w:rPr>
          <w:rStyle w:val="fontstyle01"/>
        </w:rPr>
        <w:t xml:space="preserve">Lei 21.972/16 e regulamentado pelo Decreto 47.383/18, </w:t>
      </w:r>
      <w:r w:rsidRPr="007424CE">
        <w:rPr>
          <w:rFonts w:ascii="Arial" w:hAnsi="Arial" w:cs="Arial"/>
          <w:szCs w:val="24"/>
        </w:rPr>
        <w:t xml:space="preserve">estabelece as condições, restrições e medidas de controle ambiental de atividades potencialmente poluidores. </w:t>
      </w:r>
      <w:r w:rsidR="006218B4" w:rsidRPr="007424CE">
        <w:rPr>
          <w:rFonts w:ascii="Arial" w:hAnsi="Arial" w:cs="Arial"/>
          <w:szCs w:val="24"/>
        </w:rPr>
        <w:t xml:space="preserve">O processo depende das </w:t>
      </w:r>
      <w:r w:rsidR="006218B4" w:rsidRPr="007424CE">
        <w:rPr>
          <w:rFonts w:ascii="Arial" w:hAnsi="Arial" w:cs="Arial"/>
          <w:szCs w:val="24"/>
        </w:rPr>
        <w:lastRenderedPageBreak/>
        <w:t xml:space="preserve">porte do empreendimento e seu de potencial poluído, bem como dos critérios de locacionais, definido as </w:t>
      </w:r>
      <w:r w:rsidRPr="007424CE">
        <w:rPr>
          <w:rFonts w:ascii="Arial" w:hAnsi="Arial" w:cs="Arial"/>
          <w:szCs w:val="24"/>
        </w:rPr>
        <w:t xml:space="preserve">licenças </w:t>
      </w:r>
      <w:r w:rsidR="006218B4" w:rsidRPr="007424CE">
        <w:rPr>
          <w:rFonts w:ascii="Arial" w:hAnsi="Arial" w:cs="Arial"/>
          <w:szCs w:val="24"/>
        </w:rPr>
        <w:t>ambientais necessárias, que podem ser</w:t>
      </w:r>
      <w:r w:rsidRPr="007424CE">
        <w:rPr>
          <w:rFonts w:ascii="Arial" w:hAnsi="Arial" w:cs="Arial"/>
          <w:szCs w:val="24"/>
        </w:rPr>
        <w:t>:</w:t>
      </w:r>
    </w:p>
    <w:p w:rsidR="005B7E74" w:rsidRPr="007424CE" w:rsidRDefault="005B7E74" w:rsidP="005B7E74">
      <w:pPr>
        <w:rPr>
          <w:rFonts w:ascii="Arial" w:hAnsi="Arial" w:cs="Arial"/>
          <w:szCs w:val="24"/>
        </w:rPr>
      </w:pPr>
    </w:p>
    <w:p w:rsidR="005B7E74" w:rsidRPr="007424CE" w:rsidRDefault="005B7E74" w:rsidP="005B7E74">
      <w:pPr>
        <w:pStyle w:val="PargrafodaLista"/>
        <w:numPr>
          <w:ilvl w:val="0"/>
          <w:numId w:val="4"/>
        </w:numPr>
        <w:rPr>
          <w:rFonts w:ascii="Arial" w:hAnsi="Arial" w:cs="Arial"/>
          <w:szCs w:val="24"/>
        </w:rPr>
      </w:pPr>
      <w:r w:rsidRPr="007424CE">
        <w:rPr>
          <w:rFonts w:ascii="Arial" w:hAnsi="Arial" w:cs="Arial"/>
          <w:szCs w:val="24"/>
        </w:rPr>
        <w:t>Licença Prévia (LP) na fase de planejamento, com prazo de até 5 anos;</w:t>
      </w:r>
    </w:p>
    <w:p w:rsidR="005B7E74" w:rsidRPr="007424CE" w:rsidRDefault="005B7E74" w:rsidP="005B7E74">
      <w:pPr>
        <w:pStyle w:val="PargrafodaLista"/>
        <w:numPr>
          <w:ilvl w:val="0"/>
          <w:numId w:val="4"/>
        </w:numPr>
        <w:rPr>
          <w:rFonts w:ascii="Arial" w:hAnsi="Arial" w:cs="Arial"/>
          <w:szCs w:val="24"/>
        </w:rPr>
      </w:pPr>
      <w:r w:rsidRPr="007424CE">
        <w:rPr>
          <w:rFonts w:ascii="Arial" w:hAnsi="Arial" w:cs="Arial"/>
          <w:szCs w:val="24"/>
        </w:rPr>
        <w:t>Licença de Instalação (LI), na fase de implantação, prazo de até 6 anos;</w:t>
      </w:r>
    </w:p>
    <w:p w:rsidR="005B7E74" w:rsidRPr="007424CE" w:rsidRDefault="005B7E74" w:rsidP="005B7E74">
      <w:pPr>
        <w:pStyle w:val="PargrafodaLista"/>
        <w:numPr>
          <w:ilvl w:val="0"/>
          <w:numId w:val="4"/>
        </w:numPr>
        <w:rPr>
          <w:rFonts w:ascii="Arial" w:hAnsi="Arial" w:cs="Arial"/>
          <w:szCs w:val="24"/>
        </w:rPr>
      </w:pPr>
      <w:r w:rsidRPr="007424CE">
        <w:rPr>
          <w:rFonts w:ascii="Arial" w:hAnsi="Arial" w:cs="Arial"/>
          <w:szCs w:val="24"/>
        </w:rPr>
        <w:t>Licença de Operação (LO) para a operação, com prazo de até 10 anos;</w:t>
      </w:r>
    </w:p>
    <w:p w:rsidR="00563CF8" w:rsidRPr="007424CE" w:rsidRDefault="00563CF8" w:rsidP="00563CF8">
      <w:pPr>
        <w:pStyle w:val="PargrafodaLista"/>
        <w:numPr>
          <w:ilvl w:val="0"/>
          <w:numId w:val="4"/>
        </w:numPr>
        <w:rPr>
          <w:rStyle w:val="fontstyle01"/>
        </w:rPr>
      </w:pPr>
      <w:r w:rsidRPr="007424CE">
        <w:rPr>
          <w:rStyle w:val="fontstyle01"/>
        </w:rPr>
        <w:t>Licença Concomitante (LAC) unifica a LP, LI e LO num só processo.</w:t>
      </w:r>
    </w:p>
    <w:p w:rsidR="005B7E74" w:rsidRPr="007424CE" w:rsidRDefault="005B7E74" w:rsidP="005B7E74">
      <w:pPr>
        <w:pStyle w:val="PargrafodaLista"/>
        <w:numPr>
          <w:ilvl w:val="0"/>
          <w:numId w:val="4"/>
        </w:numPr>
        <w:rPr>
          <w:rStyle w:val="fontstyle01"/>
        </w:rPr>
      </w:pPr>
      <w:r w:rsidRPr="007424CE">
        <w:rPr>
          <w:rStyle w:val="fontstyle01"/>
        </w:rPr>
        <w:t xml:space="preserve">Licença Ambiental </w:t>
      </w:r>
      <w:r w:rsidR="00E77272" w:rsidRPr="007424CE">
        <w:rPr>
          <w:rStyle w:val="fontstyle01"/>
        </w:rPr>
        <w:t>Simplificadas</w:t>
      </w:r>
      <w:r w:rsidRPr="007424CE">
        <w:rPr>
          <w:rStyle w:val="fontstyle01"/>
        </w:rPr>
        <w:t xml:space="preserve"> (LA</w:t>
      </w:r>
      <w:r w:rsidR="00E77272" w:rsidRPr="007424CE">
        <w:rPr>
          <w:rStyle w:val="fontstyle01"/>
        </w:rPr>
        <w:t>S</w:t>
      </w:r>
      <w:r w:rsidRPr="007424CE">
        <w:rPr>
          <w:rStyle w:val="fontstyle01"/>
        </w:rPr>
        <w:t>), para projetos de menor porte</w:t>
      </w:r>
    </w:p>
    <w:p w:rsidR="005B7E74" w:rsidRPr="007424CE" w:rsidRDefault="005B7E74" w:rsidP="005B7E74">
      <w:pPr>
        <w:rPr>
          <w:rStyle w:val="fontstyle01"/>
        </w:rPr>
      </w:pPr>
    </w:p>
    <w:p w:rsidR="005B7E74" w:rsidRPr="007424CE" w:rsidRDefault="005B7E74" w:rsidP="005B7E74">
      <w:pPr>
        <w:rPr>
          <w:rStyle w:val="fontstyle01"/>
        </w:rPr>
      </w:pPr>
      <w:r w:rsidRPr="007424CE">
        <w:rPr>
          <w:rStyle w:val="fontstyle01"/>
        </w:rPr>
        <w:t xml:space="preserve">Para se solicitar a licença o interessado </w:t>
      </w:r>
      <w:r w:rsidR="00666D52" w:rsidRPr="007424CE">
        <w:rPr>
          <w:rStyle w:val="fontstyle01"/>
        </w:rPr>
        <w:t>acessar consultar o Sistema Informatizado de Infraestrutura de Dados Espaciais do SISEMA, para verificar a incidência dos critérios locacionais e fatores de restrição ou vedação que incidem sobre o empreendimento (Deliberação COPAM 217/17)</w:t>
      </w:r>
      <w:r w:rsidRPr="007424CE">
        <w:rPr>
          <w:rStyle w:val="fontstyle01"/>
        </w:rPr>
        <w:t>. O procedimento de Licenciamento Ambiental tem as seguintes etapas:</w:t>
      </w:r>
    </w:p>
    <w:p w:rsidR="005B7E74" w:rsidRPr="007424CE" w:rsidRDefault="005B7E74" w:rsidP="005B7E74">
      <w:pPr>
        <w:rPr>
          <w:rStyle w:val="fontstyle01"/>
        </w:rPr>
      </w:pPr>
    </w:p>
    <w:p w:rsidR="005B7E74" w:rsidRPr="007424CE" w:rsidRDefault="00666D52" w:rsidP="005B7E74">
      <w:pPr>
        <w:pStyle w:val="PargrafodaLista"/>
        <w:numPr>
          <w:ilvl w:val="0"/>
          <w:numId w:val="3"/>
        </w:numPr>
        <w:rPr>
          <w:rStyle w:val="fontstyle01"/>
        </w:rPr>
      </w:pPr>
      <w:r w:rsidRPr="007424CE">
        <w:rPr>
          <w:rStyle w:val="fontstyle01"/>
        </w:rPr>
        <w:t>Simular o enquadramento do empreendimento</w:t>
      </w:r>
      <w:r w:rsidR="005B7E74" w:rsidRPr="007424CE">
        <w:rPr>
          <w:rStyle w:val="fontstyle01"/>
        </w:rPr>
        <w:t>;</w:t>
      </w:r>
    </w:p>
    <w:p w:rsidR="005B7E74" w:rsidRPr="007424CE" w:rsidRDefault="00666D52" w:rsidP="005B7E74">
      <w:pPr>
        <w:pStyle w:val="PargrafodaLista"/>
        <w:numPr>
          <w:ilvl w:val="0"/>
          <w:numId w:val="3"/>
        </w:numPr>
        <w:rPr>
          <w:rStyle w:val="fontstyle01"/>
        </w:rPr>
      </w:pPr>
      <w:r w:rsidRPr="007424CE">
        <w:rPr>
          <w:rStyle w:val="fontstyle01"/>
        </w:rPr>
        <w:t>Solicitar o Licenciamento Ambiental (via sistema informatizado)</w:t>
      </w:r>
    </w:p>
    <w:p w:rsidR="005B7E74" w:rsidRPr="007424CE" w:rsidRDefault="00666D52" w:rsidP="005B7E74">
      <w:pPr>
        <w:pStyle w:val="PargrafodaLista"/>
        <w:numPr>
          <w:ilvl w:val="0"/>
          <w:numId w:val="3"/>
        </w:numPr>
        <w:rPr>
          <w:rStyle w:val="fontstyle01"/>
        </w:rPr>
      </w:pPr>
      <w:r w:rsidRPr="007424CE">
        <w:rPr>
          <w:rStyle w:val="fontstyle01"/>
        </w:rPr>
        <w:t>Cadastrar a</w:t>
      </w:r>
      <w:r w:rsidR="00C33333" w:rsidRPr="007424CE">
        <w:rPr>
          <w:rStyle w:val="fontstyle01"/>
        </w:rPr>
        <w:t xml:space="preserve"> pessoa jurídica</w:t>
      </w:r>
    </w:p>
    <w:p w:rsidR="005B7E74" w:rsidRPr="007424CE" w:rsidRDefault="00C33333" w:rsidP="005B7E74">
      <w:pPr>
        <w:pStyle w:val="PargrafodaLista"/>
        <w:numPr>
          <w:ilvl w:val="0"/>
          <w:numId w:val="3"/>
        </w:numPr>
        <w:rPr>
          <w:rStyle w:val="fontstyle01"/>
        </w:rPr>
      </w:pPr>
      <w:r w:rsidRPr="007424CE">
        <w:rPr>
          <w:rStyle w:val="fontstyle01"/>
        </w:rPr>
        <w:t>E</w:t>
      </w:r>
      <w:r w:rsidR="005B7E74" w:rsidRPr="007424CE">
        <w:rPr>
          <w:rStyle w:val="fontstyle01"/>
        </w:rPr>
        <w:t>missão da licença pela SE</w:t>
      </w:r>
      <w:r w:rsidRPr="007424CE">
        <w:rPr>
          <w:rStyle w:val="fontstyle01"/>
        </w:rPr>
        <w:t>MA</w:t>
      </w:r>
      <w:r w:rsidR="005B7E74" w:rsidRPr="007424CE">
        <w:rPr>
          <w:rStyle w:val="fontstyle01"/>
        </w:rPr>
        <w:t>.</w:t>
      </w:r>
    </w:p>
    <w:p w:rsidR="00C33333" w:rsidRPr="007424CE" w:rsidRDefault="00C33333" w:rsidP="005B7E74">
      <w:pPr>
        <w:pStyle w:val="PargrafodaLista"/>
        <w:numPr>
          <w:ilvl w:val="0"/>
          <w:numId w:val="3"/>
        </w:numPr>
        <w:rPr>
          <w:rStyle w:val="fontstyle01"/>
        </w:rPr>
      </w:pPr>
      <w:r w:rsidRPr="007424CE">
        <w:rPr>
          <w:rStyle w:val="fontstyle01"/>
        </w:rPr>
        <w:t>Publicação da Licença pelo interessado</w:t>
      </w:r>
    </w:p>
    <w:p w:rsidR="005B7E74" w:rsidRPr="007424CE" w:rsidRDefault="005B7E74" w:rsidP="005B7E74">
      <w:pPr>
        <w:rPr>
          <w:rStyle w:val="fontstyle01"/>
        </w:rPr>
      </w:pPr>
      <w:r w:rsidRPr="007424CE">
        <w:rPr>
          <w:rFonts w:ascii="Arial" w:hAnsi="Arial" w:cs="Arial"/>
          <w:color w:val="000000"/>
          <w:szCs w:val="24"/>
        </w:rPr>
        <w:br/>
      </w:r>
      <w:r w:rsidRPr="007424CE">
        <w:rPr>
          <w:rStyle w:val="fontstyle01"/>
        </w:rPr>
        <w:t xml:space="preserve">Os sistemas de abastecimento de água e de esgotamento sanitário necessários para o serviço público, são </w:t>
      </w:r>
      <w:r w:rsidR="00E905EC" w:rsidRPr="007424CE">
        <w:rPr>
          <w:rStyle w:val="fontstyle01"/>
        </w:rPr>
        <w:t>empreendimento</w:t>
      </w:r>
      <w:r w:rsidRPr="007424CE">
        <w:rPr>
          <w:rStyle w:val="fontstyle01"/>
        </w:rPr>
        <w:t xml:space="preserve"> classificados conforme tabela </w:t>
      </w:r>
      <w:r w:rsidR="004D099B" w:rsidRPr="007424CE">
        <w:rPr>
          <w:rStyle w:val="fontstyle01"/>
        </w:rPr>
        <w:t>da figura 28</w:t>
      </w:r>
      <w:r w:rsidRPr="007424CE">
        <w:rPr>
          <w:rStyle w:val="fontstyle01"/>
        </w:rPr>
        <w:t xml:space="preserve"> (</w:t>
      </w:r>
      <w:r w:rsidR="003545B5" w:rsidRPr="007424CE">
        <w:rPr>
          <w:rStyle w:val="fontstyle01"/>
        </w:rPr>
        <w:t>Deliberação Normativa COPANM 217/17</w:t>
      </w:r>
      <w:r w:rsidRPr="007424CE">
        <w:rPr>
          <w:rStyle w:val="fontstyle01"/>
        </w:rPr>
        <w:t>).</w:t>
      </w:r>
    </w:p>
    <w:p w:rsidR="005B7E74" w:rsidRPr="007424CE" w:rsidRDefault="005B7E74" w:rsidP="005B7E74">
      <w:pPr>
        <w:rPr>
          <w:rStyle w:val="fontstyle01"/>
        </w:rPr>
      </w:pPr>
    </w:p>
    <w:p w:rsidR="004D099B" w:rsidRPr="007424CE" w:rsidRDefault="004D099B" w:rsidP="005B7E74">
      <w:pPr>
        <w:rPr>
          <w:rStyle w:val="fontstyle01"/>
          <w:b/>
          <w:bCs/>
          <w:sz w:val="20"/>
          <w:szCs w:val="20"/>
        </w:rPr>
      </w:pPr>
      <w:r w:rsidRPr="007424CE">
        <w:rPr>
          <w:rStyle w:val="fontstyle01"/>
          <w:b/>
          <w:bCs/>
          <w:sz w:val="20"/>
          <w:szCs w:val="20"/>
        </w:rPr>
        <w:t xml:space="preserve">Figura </w:t>
      </w:r>
      <w:r w:rsidR="007424CE" w:rsidRPr="007424CE">
        <w:rPr>
          <w:rStyle w:val="fontstyle01"/>
          <w:b/>
          <w:bCs/>
          <w:sz w:val="20"/>
          <w:szCs w:val="20"/>
        </w:rPr>
        <w:t>1</w:t>
      </w:r>
      <w:r w:rsidR="00C06A2E" w:rsidRPr="007424CE">
        <w:rPr>
          <w:rStyle w:val="fontstyle01"/>
          <w:b/>
          <w:bCs/>
          <w:sz w:val="20"/>
          <w:szCs w:val="20"/>
        </w:rPr>
        <w:t>Critérios de Classificação do Projeto para Licenciamento Ambiental</w:t>
      </w:r>
    </w:p>
    <w:tbl>
      <w:tblPr>
        <w:tblStyle w:val="Tabelacomgrade"/>
        <w:tblW w:w="0" w:type="auto"/>
        <w:tblLook w:val="04A0"/>
      </w:tblPr>
      <w:tblGrid>
        <w:gridCol w:w="2547"/>
        <w:gridCol w:w="709"/>
        <w:gridCol w:w="1039"/>
        <w:gridCol w:w="1416"/>
        <w:gridCol w:w="1416"/>
        <w:gridCol w:w="1416"/>
      </w:tblGrid>
      <w:tr w:rsidR="000A506A" w:rsidRPr="007424CE" w:rsidTr="000A506A">
        <w:tc>
          <w:tcPr>
            <w:tcW w:w="2547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Obra</w:t>
            </w:r>
          </w:p>
        </w:tc>
        <w:tc>
          <w:tcPr>
            <w:tcW w:w="709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Unid</w:t>
            </w:r>
          </w:p>
        </w:tc>
        <w:tc>
          <w:tcPr>
            <w:tcW w:w="990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Potencial Poluidor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Porte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</w:p>
        </w:tc>
      </w:tr>
      <w:tr w:rsidR="000A506A" w:rsidRPr="007424CE" w:rsidTr="000A506A">
        <w:tc>
          <w:tcPr>
            <w:tcW w:w="2547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</w:p>
        </w:tc>
        <w:tc>
          <w:tcPr>
            <w:tcW w:w="709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</w:p>
        </w:tc>
        <w:tc>
          <w:tcPr>
            <w:tcW w:w="990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P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M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G</w:t>
            </w:r>
          </w:p>
        </w:tc>
      </w:tr>
      <w:tr w:rsidR="000A506A" w:rsidRPr="007424CE" w:rsidTr="000A506A">
        <w:tc>
          <w:tcPr>
            <w:tcW w:w="2547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Barragem</w:t>
            </w:r>
          </w:p>
        </w:tc>
        <w:tc>
          <w:tcPr>
            <w:tcW w:w="709" w:type="dxa"/>
          </w:tcPr>
          <w:p w:rsidR="000A506A" w:rsidRPr="007424CE" w:rsidRDefault="00F71058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ha</w:t>
            </w:r>
          </w:p>
        </w:tc>
        <w:tc>
          <w:tcPr>
            <w:tcW w:w="990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G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&lt; 150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150 a 500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&gt; 500</w:t>
            </w:r>
          </w:p>
        </w:tc>
      </w:tr>
      <w:tr w:rsidR="000A506A" w:rsidRPr="007424CE" w:rsidTr="000A506A">
        <w:tc>
          <w:tcPr>
            <w:tcW w:w="2547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Est. Tratamento Água</w:t>
            </w:r>
          </w:p>
        </w:tc>
        <w:tc>
          <w:tcPr>
            <w:tcW w:w="709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l/s</w:t>
            </w:r>
          </w:p>
        </w:tc>
        <w:tc>
          <w:tcPr>
            <w:tcW w:w="990" w:type="dxa"/>
          </w:tcPr>
          <w:p w:rsidR="000A506A" w:rsidRPr="007424CE" w:rsidRDefault="00D6635C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P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&lt; 100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100 a 500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&gt; 500</w:t>
            </w:r>
          </w:p>
        </w:tc>
      </w:tr>
      <w:tr w:rsidR="000A506A" w:rsidRPr="007424CE" w:rsidTr="000A506A">
        <w:tc>
          <w:tcPr>
            <w:tcW w:w="2547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Interceptores. e Elev. Esgoto</w:t>
            </w:r>
          </w:p>
        </w:tc>
        <w:tc>
          <w:tcPr>
            <w:tcW w:w="709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l/s</w:t>
            </w:r>
          </w:p>
        </w:tc>
        <w:tc>
          <w:tcPr>
            <w:tcW w:w="990" w:type="dxa"/>
          </w:tcPr>
          <w:p w:rsidR="000A506A" w:rsidRPr="007424CE" w:rsidRDefault="00D6635C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P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&lt; 250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250 a 500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&gt; 500</w:t>
            </w:r>
          </w:p>
        </w:tc>
      </w:tr>
      <w:tr w:rsidR="000A506A" w:rsidRPr="007424CE" w:rsidTr="000A506A">
        <w:tc>
          <w:tcPr>
            <w:tcW w:w="2547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Est. Tratamento Esgotos</w:t>
            </w:r>
          </w:p>
        </w:tc>
        <w:tc>
          <w:tcPr>
            <w:tcW w:w="709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l/s</w:t>
            </w:r>
          </w:p>
        </w:tc>
        <w:tc>
          <w:tcPr>
            <w:tcW w:w="990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M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&lt; 50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50 a 100</w:t>
            </w:r>
          </w:p>
        </w:tc>
        <w:tc>
          <w:tcPr>
            <w:tcW w:w="1416" w:type="dxa"/>
          </w:tcPr>
          <w:p w:rsidR="000A506A" w:rsidRPr="007424CE" w:rsidRDefault="000A506A" w:rsidP="005B7E74">
            <w:pPr>
              <w:rPr>
                <w:rStyle w:val="fontstyle01"/>
                <w:sz w:val="20"/>
                <w:szCs w:val="20"/>
              </w:rPr>
            </w:pPr>
            <w:r w:rsidRPr="007424CE">
              <w:rPr>
                <w:rStyle w:val="fontstyle01"/>
                <w:sz w:val="20"/>
                <w:szCs w:val="20"/>
              </w:rPr>
              <w:t>&gt; 100</w:t>
            </w:r>
          </w:p>
        </w:tc>
      </w:tr>
    </w:tbl>
    <w:p w:rsidR="00BD75FE" w:rsidRPr="007424CE" w:rsidRDefault="00BD75FE">
      <w:pPr>
        <w:rPr>
          <w:rStyle w:val="fontstyle01"/>
        </w:rPr>
      </w:pPr>
    </w:p>
    <w:p w:rsidR="00F958FF" w:rsidRPr="007424CE" w:rsidRDefault="00F71058">
      <w:pPr>
        <w:rPr>
          <w:rFonts w:ascii="Arial" w:hAnsi="Arial" w:cs="Arial"/>
        </w:rPr>
      </w:pPr>
      <w:r w:rsidRPr="007424CE">
        <w:rPr>
          <w:rFonts w:ascii="Arial" w:hAnsi="Arial" w:cs="Arial"/>
        </w:rPr>
        <w:t xml:space="preserve">Em função do porte e do potencial poluidor do empreendimento, é atribuído um peso ao projeto, conforme tabela abaixo </w:t>
      </w:r>
      <w:r w:rsidR="00F958FF" w:rsidRPr="007424CE">
        <w:rPr>
          <w:rFonts w:ascii="Arial" w:hAnsi="Arial" w:cs="Arial"/>
        </w:rPr>
        <w:br w:type="page"/>
      </w:r>
    </w:p>
    <w:p w:rsidR="00F958FF" w:rsidRPr="007424CE" w:rsidRDefault="00F71058" w:rsidP="00F958FF">
      <w:pPr>
        <w:rPr>
          <w:rFonts w:ascii="Arial" w:hAnsi="Arial" w:cs="Arial"/>
          <w:b/>
          <w:bCs/>
          <w:sz w:val="20"/>
          <w:szCs w:val="20"/>
        </w:rPr>
      </w:pPr>
      <w:r w:rsidRPr="007424CE">
        <w:rPr>
          <w:rFonts w:ascii="Arial" w:hAnsi="Arial" w:cs="Arial"/>
          <w:b/>
          <w:bCs/>
          <w:sz w:val="20"/>
          <w:szCs w:val="20"/>
        </w:rPr>
        <w:lastRenderedPageBreak/>
        <w:t>Figura 2 – Peso em função do Porte e Potencial Poluidor</w:t>
      </w:r>
    </w:p>
    <w:tbl>
      <w:tblPr>
        <w:tblStyle w:val="Tabelacomgrade"/>
        <w:tblW w:w="0" w:type="auto"/>
        <w:tblLook w:val="04A0"/>
      </w:tblPr>
      <w:tblGrid>
        <w:gridCol w:w="236"/>
        <w:gridCol w:w="2311"/>
        <w:gridCol w:w="1982"/>
        <w:gridCol w:w="1982"/>
        <w:gridCol w:w="1983"/>
      </w:tblGrid>
      <w:tr w:rsidR="007424CE" w:rsidRPr="007424CE" w:rsidTr="007424CE">
        <w:tc>
          <w:tcPr>
            <w:tcW w:w="236" w:type="dxa"/>
          </w:tcPr>
          <w:p w:rsidR="007424CE" w:rsidRPr="007424CE" w:rsidRDefault="007424CE" w:rsidP="007424CE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  <w:vMerge w:val="restart"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Potencial Poluidor</w:t>
            </w:r>
          </w:p>
        </w:tc>
        <w:tc>
          <w:tcPr>
            <w:tcW w:w="5947" w:type="dxa"/>
            <w:gridSpan w:val="3"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Porte do Empreendimento</w:t>
            </w:r>
          </w:p>
        </w:tc>
      </w:tr>
      <w:tr w:rsidR="007424CE" w:rsidRPr="007424CE" w:rsidTr="007424CE">
        <w:tc>
          <w:tcPr>
            <w:tcW w:w="236" w:type="dxa"/>
          </w:tcPr>
          <w:p w:rsidR="007424CE" w:rsidRPr="007424CE" w:rsidRDefault="007424CE" w:rsidP="007424CE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  <w:vMerge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2" w:type="dxa"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P</w:t>
            </w:r>
          </w:p>
        </w:tc>
        <w:tc>
          <w:tcPr>
            <w:tcW w:w="1982" w:type="dxa"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M</w:t>
            </w:r>
          </w:p>
        </w:tc>
        <w:tc>
          <w:tcPr>
            <w:tcW w:w="1983" w:type="dxa"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G</w:t>
            </w:r>
          </w:p>
        </w:tc>
      </w:tr>
      <w:tr w:rsidR="007424CE" w:rsidRPr="007424CE" w:rsidTr="007424CE">
        <w:tc>
          <w:tcPr>
            <w:tcW w:w="236" w:type="dxa"/>
            <w:vMerge w:val="restart"/>
          </w:tcPr>
          <w:p w:rsidR="007424CE" w:rsidRPr="007424CE" w:rsidRDefault="007424CE" w:rsidP="007424CE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P</w:t>
            </w:r>
          </w:p>
        </w:tc>
        <w:tc>
          <w:tcPr>
            <w:tcW w:w="1982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1</w:t>
            </w:r>
          </w:p>
        </w:tc>
        <w:tc>
          <w:tcPr>
            <w:tcW w:w="1982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1</w:t>
            </w:r>
          </w:p>
        </w:tc>
        <w:tc>
          <w:tcPr>
            <w:tcW w:w="1983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1</w:t>
            </w:r>
          </w:p>
        </w:tc>
      </w:tr>
      <w:tr w:rsidR="007424CE" w:rsidRPr="007424CE" w:rsidTr="007424CE">
        <w:tc>
          <w:tcPr>
            <w:tcW w:w="236" w:type="dxa"/>
            <w:vMerge/>
          </w:tcPr>
          <w:p w:rsidR="007424CE" w:rsidRPr="007424CE" w:rsidRDefault="007424CE" w:rsidP="007424CE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M</w:t>
            </w:r>
          </w:p>
        </w:tc>
        <w:tc>
          <w:tcPr>
            <w:tcW w:w="1982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2</w:t>
            </w:r>
          </w:p>
        </w:tc>
        <w:tc>
          <w:tcPr>
            <w:tcW w:w="1982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3</w:t>
            </w:r>
          </w:p>
        </w:tc>
        <w:tc>
          <w:tcPr>
            <w:tcW w:w="1983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4</w:t>
            </w:r>
          </w:p>
        </w:tc>
      </w:tr>
      <w:tr w:rsidR="007424CE" w:rsidRPr="007424CE" w:rsidTr="007424CE">
        <w:tc>
          <w:tcPr>
            <w:tcW w:w="236" w:type="dxa"/>
            <w:vMerge/>
          </w:tcPr>
          <w:p w:rsidR="007424CE" w:rsidRPr="007424CE" w:rsidRDefault="007424CE" w:rsidP="007424CE">
            <w:pPr>
              <w:rPr>
                <w:rFonts w:ascii="Arial" w:hAnsi="Arial" w:cs="Arial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G</w:t>
            </w:r>
          </w:p>
        </w:tc>
        <w:tc>
          <w:tcPr>
            <w:tcW w:w="1982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4</w:t>
            </w:r>
          </w:p>
        </w:tc>
        <w:tc>
          <w:tcPr>
            <w:tcW w:w="1982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5</w:t>
            </w:r>
          </w:p>
        </w:tc>
        <w:tc>
          <w:tcPr>
            <w:tcW w:w="1983" w:type="dxa"/>
            <w:vAlign w:val="center"/>
          </w:tcPr>
          <w:p w:rsidR="007424CE" w:rsidRPr="007424CE" w:rsidRDefault="007424CE" w:rsidP="007424CE">
            <w:pPr>
              <w:jc w:val="center"/>
              <w:rPr>
                <w:rFonts w:ascii="Arial" w:hAnsi="Arial" w:cs="Arial"/>
              </w:rPr>
            </w:pPr>
            <w:r w:rsidRPr="007424CE">
              <w:rPr>
                <w:rFonts w:ascii="Arial" w:hAnsi="Arial" w:cs="Arial"/>
              </w:rPr>
              <w:t>6</w:t>
            </w:r>
          </w:p>
        </w:tc>
      </w:tr>
    </w:tbl>
    <w:p w:rsidR="00F71058" w:rsidRPr="007424CE" w:rsidRDefault="00F71058" w:rsidP="00F958FF">
      <w:pPr>
        <w:rPr>
          <w:rFonts w:ascii="Arial" w:hAnsi="Arial" w:cs="Arial"/>
        </w:rPr>
      </w:pPr>
    </w:p>
    <w:p w:rsidR="00F958FF" w:rsidRPr="007424CE" w:rsidRDefault="00F958FF" w:rsidP="00F958FF">
      <w:pPr>
        <w:rPr>
          <w:rFonts w:ascii="Arial" w:hAnsi="Arial" w:cs="Arial"/>
        </w:rPr>
      </w:pPr>
    </w:p>
    <w:p w:rsidR="00F71058" w:rsidRPr="007424CE" w:rsidRDefault="00F71058" w:rsidP="00F958FF">
      <w:pPr>
        <w:rPr>
          <w:rFonts w:ascii="Arial" w:hAnsi="Arial" w:cs="Arial"/>
        </w:rPr>
      </w:pPr>
      <w:r w:rsidRPr="007424CE">
        <w:rPr>
          <w:rFonts w:ascii="Arial" w:hAnsi="Arial" w:cs="Arial"/>
        </w:rPr>
        <w:t>Além do porte e do potencial poluidor do empreendimento, é avaliado ainda o critério locacional do empreendimento, atribuindo ao projeto um peso conforme tabela abaixo (Fig. 3)</w:t>
      </w:r>
      <w:r w:rsidR="001D5272" w:rsidRPr="007424CE">
        <w:rPr>
          <w:rFonts w:ascii="Arial" w:hAnsi="Arial" w:cs="Arial"/>
        </w:rPr>
        <w:t>.</w:t>
      </w:r>
    </w:p>
    <w:p w:rsidR="00F71058" w:rsidRPr="007424CE" w:rsidRDefault="00F71058" w:rsidP="00F958FF">
      <w:pPr>
        <w:rPr>
          <w:rFonts w:ascii="Arial" w:hAnsi="Arial" w:cs="Arial"/>
        </w:rPr>
      </w:pPr>
    </w:p>
    <w:p w:rsidR="00F71058" w:rsidRPr="007424CE" w:rsidRDefault="00F71058" w:rsidP="00F71058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7424CE">
        <w:rPr>
          <w:rFonts w:ascii="Arial" w:hAnsi="Arial" w:cs="Arial"/>
          <w:b/>
          <w:bCs/>
          <w:color w:val="000000"/>
          <w:sz w:val="20"/>
          <w:szCs w:val="20"/>
        </w:rPr>
        <w:t>Figura 3: Critérios locacionais de enquadramento</w:t>
      </w:r>
    </w:p>
    <w:tbl>
      <w:tblPr>
        <w:tblW w:w="8890" w:type="dxa"/>
        <w:tblInd w:w="7" w:type="dxa"/>
        <w:tblCellMar>
          <w:left w:w="0" w:type="dxa"/>
          <w:right w:w="0" w:type="dxa"/>
        </w:tblCellMar>
        <w:tblLook w:val="04A0"/>
      </w:tblPr>
      <w:tblGrid>
        <w:gridCol w:w="7921"/>
        <w:gridCol w:w="969"/>
      </w:tblGrid>
      <w:tr w:rsidR="00F71058" w:rsidRPr="007424CE" w:rsidTr="001D5272">
        <w:trPr>
          <w:trHeight w:val="607"/>
        </w:trPr>
        <w:tc>
          <w:tcPr>
            <w:tcW w:w="7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Critérios Locacionais de Enquadramento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Peso</w:t>
            </w:r>
          </w:p>
        </w:tc>
      </w:tr>
      <w:tr w:rsidR="00F71058" w:rsidRPr="007424CE" w:rsidTr="001D5272">
        <w:trPr>
          <w:trHeight w:val="543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Localização prevista em Unidade de Conservação de Proteção Integral, nas hipóteses previstas em Lei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Supressão de vegetação nativa em áreas prioritárias para conservação, considerada de importância biológica  “extrema” ou “especial”, exceto árvores isoladas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Supressão de vegetação nativa, exceto árvores isoladas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1058" w:rsidRPr="007424CE" w:rsidTr="001D5272">
        <w:trPr>
          <w:trHeight w:val="543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Localização prevista em zona de amortecimento de Unidade de Conservação de Proteção Integral, ou na faixa de 3 km do seu entorno quando não houver zona de amortecimento estabelecida por Plano de Manejo; excluídas as áreas urbanas.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Localização prevista em Unidade de Conservação de Uso Sustentável, exceto APA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Localização prevista em Reserva da Biosfera, excluídas as áreas urbanas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Localização prevista em Corredor Ecológico formalmente instituído, conforme previsão legal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Localização prevista em áreas designadas como  Sítios Ramsar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Localização prevista em área de drenagem a montante de trecho de curso d’água enquadrado em classe especial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Captação de água superficial em Área de Conflito por uso de recursos hídricos.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1058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Localização prevista em área de alto ou muito alto grau de potencialidade de ocorrência de cavidades, conforme dados oficiais do CECAV-ICMBio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058" w:rsidRPr="007424CE" w:rsidRDefault="00F71058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1D5272" w:rsidRPr="007424CE" w:rsidTr="001D5272">
        <w:trPr>
          <w:trHeight w:val="348"/>
        </w:trPr>
        <w:tc>
          <w:tcPr>
            <w:tcW w:w="7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272" w:rsidRPr="007424CE" w:rsidRDefault="001D5272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Demais locais não citados acima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272" w:rsidRPr="007424CE" w:rsidRDefault="001D5272" w:rsidP="003C32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4CE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:rsidR="00F71058" w:rsidRPr="007424CE" w:rsidRDefault="00F71058" w:rsidP="00F958FF">
      <w:pPr>
        <w:rPr>
          <w:rFonts w:ascii="Arial" w:hAnsi="Arial" w:cs="Arial"/>
        </w:rPr>
      </w:pPr>
    </w:p>
    <w:p w:rsidR="001D5272" w:rsidRPr="007424CE" w:rsidRDefault="001D5272" w:rsidP="00F958FF">
      <w:pPr>
        <w:rPr>
          <w:rFonts w:ascii="Arial" w:hAnsi="Arial" w:cs="Arial"/>
        </w:rPr>
      </w:pPr>
    </w:p>
    <w:p w:rsidR="00F71058" w:rsidRPr="007424CE" w:rsidRDefault="00F71058" w:rsidP="00F958FF">
      <w:pPr>
        <w:rPr>
          <w:rFonts w:ascii="Arial" w:hAnsi="Arial" w:cs="Arial"/>
        </w:rPr>
      </w:pPr>
    </w:p>
    <w:p w:rsidR="001D5272" w:rsidRPr="007424CE" w:rsidRDefault="001D5272" w:rsidP="00F958FF">
      <w:pPr>
        <w:rPr>
          <w:rFonts w:ascii="Arial" w:hAnsi="Arial" w:cs="Arial"/>
        </w:rPr>
      </w:pPr>
      <w:r w:rsidRPr="007424CE">
        <w:rPr>
          <w:rFonts w:ascii="Arial" w:hAnsi="Arial" w:cs="Arial"/>
        </w:rPr>
        <w:t>O tipo de licenciamento exigido, em funç</w:t>
      </w:r>
      <w:r w:rsidR="00E905EC">
        <w:rPr>
          <w:rFonts w:ascii="Arial" w:hAnsi="Arial" w:cs="Arial"/>
        </w:rPr>
        <w:t>ão</w:t>
      </w:r>
      <w:r w:rsidRPr="007424CE">
        <w:rPr>
          <w:rFonts w:ascii="Arial" w:hAnsi="Arial" w:cs="Arial"/>
        </w:rPr>
        <w:t xml:space="preserve"> do Porte/Poluidor e dos critérios locacionais, é definido pela tabela abaixo (fig. 4)</w:t>
      </w:r>
    </w:p>
    <w:p w:rsidR="001D5272" w:rsidRPr="007424CE" w:rsidRDefault="001D5272" w:rsidP="00F958FF">
      <w:pPr>
        <w:rPr>
          <w:rFonts w:ascii="Arial" w:hAnsi="Arial" w:cs="Arial"/>
        </w:rPr>
      </w:pPr>
    </w:p>
    <w:p w:rsidR="001D5272" w:rsidRPr="007424CE" w:rsidRDefault="001D5272" w:rsidP="00F958FF">
      <w:pPr>
        <w:rPr>
          <w:rFonts w:ascii="Arial" w:hAnsi="Arial" w:cs="Arial"/>
          <w:b/>
          <w:bCs/>
          <w:sz w:val="20"/>
          <w:szCs w:val="20"/>
        </w:rPr>
      </w:pPr>
      <w:r w:rsidRPr="007424CE">
        <w:rPr>
          <w:rFonts w:ascii="Arial" w:hAnsi="Arial" w:cs="Arial"/>
          <w:b/>
          <w:bCs/>
          <w:sz w:val="20"/>
          <w:szCs w:val="20"/>
        </w:rPr>
        <w:t>Figura 4 – Tipo de Licenciamento exigido</w:t>
      </w:r>
    </w:p>
    <w:p w:rsidR="001D5272" w:rsidRPr="007424CE" w:rsidRDefault="001D5272" w:rsidP="00F958FF">
      <w:pPr>
        <w:rPr>
          <w:rFonts w:ascii="Arial" w:hAnsi="Arial" w:cs="Arial"/>
        </w:rPr>
      </w:pPr>
      <w:r w:rsidRPr="007424CE">
        <w:rPr>
          <w:rFonts w:ascii="Arial" w:hAnsi="Arial" w:cs="Arial"/>
          <w:noProof/>
          <w:lang w:eastAsia="pt-BR"/>
        </w:rPr>
        <w:drawing>
          <wp:inline distT="0" distB="0" distL="0" distR="0">
            <wp:extent cx="5400040" cy="1040130"/>
            <wp:effectExtent l="0" t="0" r="0" b="7620"/>
            <wp:docPr id="16128741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272" w:rsidRPr="007424CE" w:rsidRDefault="001D5272" w:rsidP="00F958FF">
      <w:pPr>
        <w:rPr>
          <w:rFonts w:ascii="Arial" w:hAnsi="Arial" w:cs="Arial"/>
        </w:rPr>
      </w:pPr>
    </w:p>
    <w:p w:rsidR="001D5272" w:rsidRPr="007424CE" w:rsidRDefault="001D5272" w:rsidP="00F958FF">
      <w:pPr>
        <w:rPr>
          <w:rFonts w:ascii="Arial" w:hAnsi="Arial" w:cs="Arial"/>
        </w:rPr>
      </w:pPr>
      <w:r w:rsidRPr="007424CE">
        <w:rPr>
          <w:rFonts w:ascii="Arial" w:hAnsi="Arial" w:cs="Arial"/>
        </w:rPr>
        <w:t>Nas unidades previstas no projeto, o porte/poluidor, critérios locacionais e licenciamento exigido são definidos abaixo</w:t>
      </w:r>
    </w:p>
    <w:p w:rsidR="001D5272" w:rsidRPr="007424CE" w:rsidRDefault="001D5272" w:rsidP="00F958FF">
      <w:pPr>
        <w:rPr>
          <w:rFonts w:ascii="Arial" w:hAnsi="Arial" w:cs="Arial"/>
        </w:rPr>
      </w:pPr>
    </w:p>
    <w:p w:rsidR="007424CE" w:rsidRPr="007424CE" w:rsidRDefault="007424CE" w:rsidP="00F958FF">
      <w:pPr>
        <w:rPr>
          <w:rFonts w:ascii="Arial" w:hAnsi="Arial" w:cs="Arial"/>
          <w:b/>
          <w:bCs/>
          <w:sz w:val="20"/>
          <w:szCs w:val="20"/>
        </w:rPr>
      </w:pPr>
      <w:r w:rsidRPr="007424CE">
        <w:rPr>
          <w:rFonts w:ascii="Arial" w:hAnsi="Arial" w:cs="Arial"/>
          <w:b/>
          <w:bCs/>
          <w:sz w:val="20"/>
          <w:szCs w:val="20"/>
        </w:rPr>
        <w:t>Figura 5 – Licenciamentos Exigidos para as Unidades do Projeto</w:t>
      </w:r>
    </w:p>
    <w:p w:rsidR="00212267" w:rsidRPr="007424CE" w:rsidRDefault="00212267" w:rsidP="00F958FF">
      <w:pPr>
        <w:rPr>
          <w:rFonts w:ascii="Arial" w:hAnsi="Arial" w:cs="Arial"/>
        </w:rPr>
      </w:pPr>
      <w:r w:rsidRPr="007424CE">
        <w:rPr>
          <w:rFonts w:ascii="Arial" w:hAnsi="Arial" w:cs="Arial"/>
          <w:noProof/>
          <w:lang w:eastAsia="pt-BR"/>
        </w:rPr>
        <w:drawing>
          <wp:inline distT="0" distB="0" distL="0" distR="0">
            <wp:extent cx="4701540" cy="1927860"/>
            <wp:effectExtent l="0" t="0" r="3810" b="0"/>
            <wp:docPr id="19862349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7" w:rsidRPr="007424CE" w:rsidRDefault="00116617" w:rsidP="00F958FF">
      <w:pPr>
        <w:rPr>
          <w:rFonts w:ascii="Arial" w:hAnsi="Arial" w:cs="Arial"/>
        </w:rPr>
      </w:pPr>
    </w:p>
    <w:p w:rsidR="00212267" w:rsidRPr="007424CE" w:rsidRDefault="00212267" w:rsidP="00F958FF">
      <w:pPr>
        <w:rPr>
          <w:rFonts w:ascii="Arial" w:hAnsi="Arial" w:cs="Arial"/>
        </w:rPr>
      </w:pPr>
      <w:r w:rsidRPr="007424CE">
        <w:rPr>
          <w:rFonts w:ascii="Arial" w:hAnsi="Arial" w:cs="Arial"/>
        </w:rPr>
        <w:t>Tanto na captação do rio Araguari, quanto na Barragem/Captação do rio Jordão, haverá necessidade de abertura de uma faixa de servidão de 3 metros de largura para a passagem da adutora de água bruta, o que impõe supressão de vegetação nativa, o que exige uma autorização (processo Intervenção Ambiental - PIA), feito concomitantemente ao processo de licenciamento, exigindo um Inventário Florestal da faixa que será limpa e propor uma medida de Compensação Ambiental (plantio de mudas nativas.</w:t>
      </w:r>
    </w:p>
    <w:p w:rsidR="00212267" w:rsidRPr="007424CE" w:rsidRDefault="00212267" w:rsidP="00F958FF">
      <w:pPr>
        <w:rPr>
          <w:rFonts w:ascii="Arial" w:hAnsi="Arial" w:cs="Arial"/>
        </w:rPr>
      </w:pPr>
    </w:p>
    <w:p w:rsidR="00212267" w:rsidRPr="007424CE" w:rsidRDefault="00212267" w:rsidP="00F958FF">
      <w:pPr>
        <w:rPr>
          <w:rFonts w:ascii="Arial" w:hAnsi="Arial" w:cs="Arial"/>
        </w:rPr>
      </w:pPr>
      <w:r w:rsidRPr="007424CE">
        <w:rPr>
          <w:rFonts w:ascii="Arial" w:hAnsi="Arial" w:cs="Arial"/>
        </w:rPr>
        <w:t xml:space="preserve">Em qualquer dos casos da captação, </w:t>
      </w:r>
      <w:r w:rsidR="007424CE" w:rsidRPr="007424CE">
        <w:rPr>
          <w:rFonts w:ascii="Arial" w:hAnsi="Arial" w:cs="Arial"/>
        </w:rPr>
        <w:t xml:space="preserve">é necessário </w:t>
      </w:r>
      <w:r w:rsidRPr="007424CE">
        <w:rPr>
          <w:rFonts w:ascii="Arial" w:hAnsi="Arial" w:cs="Arial"/>
        </w:rPr>
        <w:t>protocol</w:t>
      </w:r>
      <w:r w:rsidR="007424CE" w:rsidRPr="007424CE">
        <w:rPr>
          <w:rFonts w:ascii="Arial" w:hAnsi="Arial" w:cs="Arial"/>
        </w:rPr>
        <w:t xml:space="preserve">aro pedidodo Direto de Uso de Recurso Hídrico, feito ao IGAM, previamente ao pedido de licenciamento das unidades. </w:t>
      </w:r>
    </w:p>
    <w:sectPr w:rsidR="00212267" w:rsidRPr="007424CE" w:rsidSect="008A63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E42D6"/>
    <w:multiLevelType w:val="hybridMultilevel"/>
    <w:tmpl w:val="868C11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E610F"/>
    <w:multiLevelType w:val="hybridMultilevel"/>
    <w:tmpl w:val="881AB0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C5F92"/>
    <w:multiLevelType w:val="hybridMultilevel"/>
    <w:tmpl w:val="3EBE482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1283C"/>
    <w:multiLevelType w:val="hybridMultilevel"/>
    <w:tmpl w:val="8DA8D8A2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D78F3"/>
    <w:rsid w:val="00052466"/>
    <w:rsid w:val="000A506A"/>
    <w:rsid w:val="000B7BA4"/>
    <w:rsid w:val="000E6D06"/>
    <w:rsid w:val="00116617"/>
    <w:rsid w:val="001B109D"/>
    <w:rsid w:val="001C38AF"/>
    <w:rsid w:val="001D5272"/>
    <w:rsid w:val="00212267"/>
    <w:rsid w:val="002963BF"/>
    <w:rsid w:val="002A0D5D"/>
    <w:rsid w:val="002A5B1D"/>
    <w:rsid w:val="00343C5C"/>
    <w:rsid w:val="003545B5"/>
    <w:rsid w:val="0038750D"/>
    <w:rsid w:val="003D201A"/>
    <w:rsid w:val="003D6429"/>
    <w:rsid w:val="00460413"/>
    <w:rsid w:val="004D099B"/>
    <w:rsid w:val="005125CC"/>
    <w:rsid w:val="00560301"/>
    <w:rsid w:val="00563CF8"/>
    <w:rsid w:val="00564F4D"/>
    <w:rsid w:val="005B7E74"/>
    <w:rsid w:val="00614426"/>
    <w:rsid w:val="006218B4"/>
    <w:rsid w:val="006340D6"/>
    <w:rsid w:val="00665519"/>
    <w:rsid w:val="00666D52"/>
    <w:rsid w:val="007424CE"/>
    <w:rsid w:val="007E6229"/>
    <w:rsid w:val="00834CDB"/>
    <w:rsid w:val="00882656"/>
    <w:rsid w:val="008A63D2"/>
    <w:rsid w:val="008F479D"/>
    <w:rsid w:val="00961B50"/>
    <w:rsid w:val="009811E1"/>
    <w:rsid w:val="009966DD"/>
    <w:rsid w:val="00A73DAF"/>
    <w:rsid w:val="00A85AF6"/>
    <w:rsid w:val="00AD78F3"/>
    <w:rsid w:val="00B15F26"/>
    <w:rsid w:val="00B2101E"/>
    <w:rsid w:val="00B607BF"/>
    <w:rsid w:val="00BD75FE"/>
    <w:rsid w:val="00C06A2E"/>
    <w:rsid w:val="00C32D90"/>
    <w:rsid w:val="00C33333"/>
    <w:rsid w:val="00C61D40"/>
    <w:rsid w:val="00D0708A"/>
    <w:rsid w:val="00D6635C"/>
    <w:rsid w:val="00D87C58"/>
    <w:rsid w:val="00DA0AB4"/>
    <w:rsid w:val="00DB7D61"/>
    <w:rsid w:val="00DC7276"/>
    <w:rsid w:val="00E77272"/>
    <w:rsid w:val="00E905EC"/>
    <w:rsid w:val="00EF643F"/>
    <w:rsid w:val="00F40B4A"/>
    <w:rsid w:val="00F71058"/>
    <w:rsid w:val="00F817E2"/>
    <w:rsid w:val="00F958FF"/>
    <w:rsid w:val="00FD42F0"/>
    <w:rsid w:val="00FF5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3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3D6429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DA0AB4"/>
    <w:pPr>
      <w:ind w:left="720"/>
      <w:contextualSpacing/>
    </w:pPr>
  </w:style>
  <w:style w:type="table" w:styleId="Tabelacomgrade">
    <w:name w:val="Table Grid"/>
    <w:basedOn w:val="Tabelanormal"/>
    <w:uiPriority w:val="39"/>
    <w:rsid w:val="00DA0AB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grafodaListaChar">
    <w:name w:val="Parágrafo da Lista Char"/>
    <w:link w:val="PargrafodaLista"/>
    <w:uiPriority w:val="34"/>
    <w:locked/>
    <w:rsid w:val="005B7E74"/>
  </w:style>
  <w:style w:type="paragraph" w:customStyle="1" w:styleId="TtuloCentral1">
    <w:name w:val="Título Central 1"/>
    <w:basedOn w:val="Normal"/>
    <w:rsid w:val="007424CE"/>
    <w:pPr>
      <w:widowControl w:val="0"/>
      <w:suppressAutoHyphens/>
      <w:spacing w:after="240" w:line="240" w:lineRule="auto"/>
      <w:jc w:val="center"/>
    </w:pPr>
    <w:rPr>
      <w:rFonts w:ascii="Arial" w:eastAsia="Times New Roman" w:hAnsi="Arial" w:cs="Times New Roman"/>
      <w:b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SAE</cp:lastModifiedBy>
  <cp:revision>2</cp:revision>
  <dcterms:created xsi:type="dcterms:W3CDTF">2026-09-11T20:42:00Z</dcterms:created>
  <dcterms:modified xsi:type="dcterms:W3CDTF">2026-09-11T20:42:00Z</dcterms:modified>
</cp:coreProperties>
</file>